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B7" w:rsidRPr="0030182C" w:rsidRDefault="00711EB7" w:rsidP="00711EB7">
      <w:pPr>
        <w:widowControl/>
        <w:outlineLvl w:val="0"/>
        <w:rPr>
          <w:rFonts w:eastAsia="標楷體"/>
          <w:b/>
          <w:sz w:val="32"/>
          <w:szCs w:val="32"/>
        </w:rPr>
      </w:pPr>
      <w:r w:rsidRPr="00A402A3">
        <w:rPr>
          <w:rFonts w:eastAsia="標楷體"/>
          <w:b/>
          <w:sz w:val="32"/>
          <w:szCs w:val="32"/>
        </w:rPr>
        <w:t>學校自主管理</w:t>
      </w:r>
    </w:p>
    <w:p w:rsidR="00711EB7" w:rsidRPr="006F5CB3" w:rsidRDefault="00711EB7" w:rsidP="00711EB7">
      <w:pPr>
        <w:keepNext/>
        <w:numPr>
          <w:ilvl w:val="0"/>
          <w:numId w:val="1"/>
        </w:numPr>
        <w:suppressAutoHyphens/>
        <w:adjustRightInd w:val="0"/>
        <w:snapToGrid w:val="0"/>
        <w:ind w:left="482" w:hanging="482"/>
        <w:rPr>
          <w:rFonts w:ascii="標楷體" w:eastAsia="標楷體" w:hAnsi="標楷體"/>
          <w:bCs/>
          <w:kern w:val="1"/>
          <w:sz w:val="28"/>
          <w:szCs w:val="28"/>
          <w:lang w:eastAsia="ar-SA"/>
        </w:rPr>
      </w:pPr>
      <w:bookmarkStart w:id="0" w:name="_Toc402967623"/>
      <w:bookmarkStart w:id="1" w:name="_Toc419809405"/>
      <w:bookmarkStart w:id="2" w:name="_GoBack"/>
      <w:r w:rsidRPr="006F5CB3">
        <w:rPr>
          <w:rFonts w:ascii="標楷體" w:eastAsia="標楷體" w:hAnsi="標楷體"/>
          <w:bCs/>
          <w:kern w:val="1"/>
          <w:sz w:val="28"/>
          <w:szCs w:val="28"/>
          <w:lang w:eastAsia="ar-SA"/>
        </w:rPr>
        <w:t>PDCA</w:t>
      </w:r>
      <w:r w:rsidRPr="006F5CB3">
        <w:rPr>
          <w:rFonts w:ascii="標楷體" w:eastAsia="標楷體" w:hAnsi="標楷體" w:cs="標楷體" w:hint="eastAsia"/>
          <w:bCs/>
          <w:kern w:val="1"/>
          <w:sz w:val="28"/>
          <w:szCs w:val="28"/>
          <w:lang w:eastAsia="ar-SA"/>
        </w:rPr>
        <w:t>循環歷程的自主管理</w:t>
      </w:r>
      <w:bookmarkEnd w:id="0"/>
      <w:bookmarkEnd w:id="1"/>
    </w:p>
    <w:bookmarkEnd w:id="2"/>
    <w:p w:rsidR="00711EB7" w:rsidRPr="006F5CB3" w:rsidRDefault="00711EB7" w:rsidP="00711EB7">
      <w:pPr>
        <w:ind w:left="485" w:hangingChars="202" w:hanging="485"/>
        <w:jc w:val="both"/>
        <w:rPr>
          <w:rFonts w:ascii="標楷體" w:eastAsia="標楷體" w:hAnsi="標楷體"/>
          <w:sz w:val="28"/>
          <w:szCs w:val="28"/>
        </w:rPr>
      </w:pPr>
      <w:r>
        <w:rPr>
          <w:rFonts w:ascii="標楷體" w:eastAsia="標楷體" w:hAnsi="標楷體"/>
          <w:noProof/>
        </w:rPr>
        <w:drawing>
          <wp:anchor distT="0" distB="0" distL="114300" distR="114300" simplePos="0" relativeHeight="251659264" behindDoc="1" locked="0" layoutInCell="1" allowOverlap="1" wp14:anchorId="2DEA2281" wp14:editId="0A3A785F">
            <wp:simplePos x="0" y="0"/>
            <wp:positionH relativeFrom="margin">
              <wp:align>right</wp:align>
            </wp:positionH>
            <wp:positionV relativeFrom="paragraph">
              <wp:posOffset>963930</wp:posOffset>
            </wp:positionV>
            <wp:extent cx="5791200" cy="3590290"/>
            <wp:effectExtent l="0" t="0" r="0" b="0"/>
            <wp:wrapTight wrapText="bothSides">
              <wp:wrapPolygon edited="0">
                <wp:start x="284" y="0"/>
                <wp:lineTo x="0" y="458"/>
                <wp:lineTo x="0" y="9856"/>
                <wp:lineTo x="426" y="11002"/>
                <wp:lineTo x="0" y="11346"/>
                <wp:lineTo x="0" y="20973"/>
                <wp:lineTo x="213" y="21432"/>
                <wp:lineTo x="21245" y="21432"/>
                <wp:lineTo x="21316" y="21432"/>
                <wp:lineTo x="21529" y="20515"/>
                <wp:lineTo x="21529" y="1834"/>
                <wp:lineTo x="21387" y="573"/>
                <wp:lineTo x="21103" y="0"/>
                <wp:lineTo x="284"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6">
                      <a:extLst>
                        <a:ext uri="{28A0092B-C50C-407E-A947-70E740481C1C}">
                          <a14:useLocalDpi xmlns:a14="http://schemas.microsoft.com/office/drawing/2010/main" val="0"/>
                        </a:ext>
                      </a:extLst>
                    </a:blip>
                    <a:srcRect r="-377"/>
                    <a:stretch>
                      <a:fillRect/>
                    </a:stretch>
                  </pic:blipFill>
                  <pic:spPr bwMode="auto">
                    <a:xfrm>
                      <a:off x="0" y="0"/>
                      <a:ext cx="5791200" cy="3590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CB3">
        <w:rPr>
          <w:rFonts w:ascii="標楷體" w:eastAsia="標楷體" w:hAnsi="標楷體"/>
          <w:sz w:val="28"/>
          <w:szCs w:val="28"/>
        </w:rPr>
        <w:t>(</w:t>
      </w:r>
      <w:r w:rsidRPr="006F5CB3">
        <w:rPr>
          <w:rFonts w:ascii="標楷體" w:eastAsia="標楷體" w:hAnsi="標楷體" w:cs="標楷體" w:hint="eastAsia"/>
          <w:sz w:val="28"/>
          <w:szCs w:val="28"/>
        </w:rPr>
        <w:t>一</w:t>
      </w:r>
      <w:r w:rsidRPr="006F5CB3">
        <w:rPr>
          <w:rFonts w:ascii="標楷體" w:eastAsia="標楷體" w:hAnsi="標楷體"/>
          <w:sz w:val="28"/>
          <w:szCs w:val="28"/>
        </w:rPr>
        <w:t>)</w:t>
      </w:r>
      <w:r w:rsidRPr="006F5CB3">
        <w:rPr>
          <w:rFonts w:ascii="標楷體" w:eastAsia="標楷體" w:hAnsi="標楷體" w:cs="標楷體" w:hint="eastAsia"/>
          <w:sz w:val="28"/>
          <w:szCs w:val="28"/>
        </w:rPr>
        <w:t>為確保本計畫之推展成效及品質，各計畫及活動推展皆採「制度化的管理」策略，強調「</w:t>
      </w:r>
      <w:r w:rsidRPr="006F5CB3">
        <w:rPr>
          <w:rFonts w:ascii="標楷體" w:eastAsia="標楷體" w:hAnsi="標楷體"/>
          <w:sz w:val="28"/>
          <w:szCs w:val="28"/>
        </w:rPr>
        <w:t>Plan</w:t>
      </w:r>
      <w:r w:rsidRPr="006F5CB3">
        <w:rPr>
          <w:rFonts w:ascii="標楷體" w:eastAsia="標楷體" w:hAnsi="標楷體" w:cs="標楷體" w:hint="eastAsia"/>
          <w:sz w:val="28"/>
          <w:szCs w:val="28"/>
        </w:rPr>
        <w:t>規劃－</w:t>
      </w:r>
      <w:r w:rsidRPr="006F5CB3">
        <w:rPr>
          <w:rFonts w:ascii="標楷體" w:eastAsia="標楷體" w:hAnsi="標楷體"/>
          <w:sz w:val="28"/>
          <w:szCs w:val="28"/>
        </w:rPr>
        <w:t>Do</w:t>
      </w:r>
      <w:r w:rsidRPr="006F5CB3">
        <w:rPr>
          <w:rFonts w:ascii="標楷體" w:eastAsia="標楷體" w:hAnsi="標楷體" w:cs="標楷體" w:hint="eastAsia"/>
          <w:sz w:val="28"/>
          <w:szCs w:val="28"/>
        </w:rPr>
        <w:t>執行－</w:t>
      </w:r>
      <w:r w:rsidRPr="006F5CB3">
        <w:rPr>
          <w:rFonts w:ascii="標楷體" w:eastAsia="標楷體" w:hAnsi="標楷體"/>
          <w:sz w:val="28"/>
          <w:szCs w:val="28"/>
        </w:rPr>
        <w:t>Check</w:t>
      </w:r>
      <w:r w:rsidRPr="006F5CB3">
        <w:rPr>
          <w:rFonts w:ascii="標楷體" w:eastAsia="標楷體" w:hAnsi="標楷體" w:cs="標楷體" w:hint="eastAsia"/>
          <w:sz w:val="28"/>
          <w:szCs w:val="28"/>
        </w:rPr>
        <w:t>評估－</w:t>
      </w:r>
      <w:r w:rsidRPr="006F5CB3">
        <w:rPr>
          <w:rFonts w:ascii="標楷體" w:eastAsia="標楷體" w:hAnsi="標楷體"/>
          <w:sz w:val="28"/>
          <w:szCs w:val="28"/>
        </w:rPr>
        <w:t>Action</w:t>
      </w:r>
      <w:r w:rsidRPr="006F5CB3">
        <w:rPr>
          <w:rFonts w:ascii="標楷體" w:eastAsia="標楷體" w:hAnsi="標楷體" w:cs="標楷體" w:hint="eastAsia"/>
          <w:sz w:val="28"/>
          <w:szCs w:val="28"/>
        </w:rPr>
        <w:t>行動」（</w:t>
      </w:r>
      <w:r w:rsidRPr="006F5CB3">
        <w:rPr>
          <w:rFonts w:ascii="標楷體" w:eastAsia="標楷體" w:hAnsi="標楷體"/>
          <w:sz w:val="28"/>
          <w:szCs w:val="28"/>
        </w:rPr>
        <w:t>PDCA</w:t>
      </w:r>
      <w:r w:rsidRPr="006F5CB3">
        <w:rPr>
          <w:rFonts w:ascii="標楷體" w:eastAsia="標楷體" w:hAnsi="標楷體" w:cs="標楷體" w:hint="eastAsia"/>
          <w:sz w:val="28"/>
          <w:szCs w:val="28"/>
        </w:rPr>
        <w:t>）循環歷程，從規劃到執行，均持續評估、省思與調整再行動，以對執行歷程及成效進行全程之品質管理。</w:t>
      </w:r>
    </w:p>
    <w:p w:rsidR="00711EB7" w:rsidRPr="006F5CB3" w:rsidRDefault="00711EB7" w:rsidP="00711EB7">
      <w:pPr>
        <w:spacing w:line="360" w:lineRule="auto"/>
        <w:ind w:left="566" w:hangingChars="202" w:hanging="566"/>
        <w:jc w:val="both"/>
        <w:rPr>
          <w:rFonts w:ascii="標楷體" w:eastAsia="標楷體" w:hAnsi="標楷體"/>
          <w:sz w:val="28"/>
          <w:szCs w:val="28"/>
        </w:rPr>
      </w:pPr>
      <w:r w:rsidRPr="006F5CB3">
        <w:rPr>
          <w:rFonts w:ascii="標楷體" w:eastAsia="標楷體" w:hAnsi="標楷體"/>
          <w:sz w:val="28"/>
          <w:szCs w:val="28"/>
        </w:rPr>
        <w:t>(</w:t>
      </w:r>
      <w:r w:rsidRPr="006F5CB3">
        <w:rPr>
          <w:rFonts w:ascii="標楷體" w:eastAsia="標楷體" w:hAnsi="標楷體" w:cs="標楷體" w:hint="eastAsia"/>
          <w:sz w:val="28"/>
          <w:szCs w:val="28"/>
        </w:rPr>
        <w:t>二</w:t>
      </w:r>
      <w:r w:rsidRPr="006F5CB3">
        <w:rPr>
          <w:rFonts w:ascii="標楷體" w:eastAsia="標楷體" w:hAnsi="標楷體"/>
          <w:sz w:val="28"/>
          <w:szCs w:val="28"/>
        </w:rPr>
        <w:t>)</w:t>
      </w:r>
      <w:r w:rsidRPr="006F5CB3">
        <w:rPr>
          <w:rFonts w:ascii="標楷體" w:eastAsia="標楷體" w:hAnsi="標楷體" w:cs="標楷體" w:hint="eastAsia"/>
          <w:sz w:val="28"/>
          <w:szCs w:val="28"/>
        </w:rPr>
        <w:t>成立「國立東石高中高</w:t>
      </w:r>
      <w:r w:rsidRPr="006F5CB3">
        <w:rPr>
          <w:rFonts w:ascii="標楷體" w:eastAsia="標楷體" w:hAnsi="標楷體" w:cs="標楷體"/>
          <w:sz w:val="28"/>
          <w:szCs w:val="28"/>
        </w:rPr>
        <w:t>職</w:t>
      </w:r>
      <w:r w:rsidRPr="006F5CB3">
        <w:rPr>
          <w:rFonts w:ascii="標楷體" w:eastAsia="標楷體" w:hAnsi="標楷體" w:cs="標楷體" w:hint="eastAsia"/>
          <w:sz w:val="28"/>
          <w:szCs w:val="28"/>
        </w:rPr>
        <w:t>優質化計畫委員會」，由校長擔任召集人、教務主任擔任總幹事，各處室主任為當然委員並邀請各領域召集人、教師會理事長以及家長會長，共同參與本計畫各項事宜。本委員會就本計畫所擬定之各具體策略，研擬分年分期實施進度與檢核機制，委員會下再分為</w:t>
      </w:r>
      <w:r w:rsidRPr="006F5CB3">
        <w:rPr>
          <w:rFonts w:ascii="標楷體" w:eastAsia="標楷體" w:hAnsi="標楷體"/>
          <w:sz w:val="28"/>
          <w:szCs w:val="28"/>
        </w:rPr>
        <w:t xml:space="preserve"> 3~4 </w:t>
      </w:r>
      <w:r w:rsidRPr="006F5CB3">
        <w:rPr>
          <w:rFonts w:ascii="標楷體" w:eastAsia="標楷體" w:hAnsi="標楷體" w:cs="標楷體" w:hint="eastAsia"/>
          <w:sz w:val="28"/>
          <w:szCs w:val="28"/>
        </w:rPr>
        <w:t>個工作檢核小組，每一小組</w:t>
      </w:r>
      <w:r w:rsidRPr="006F5CB3">
        <w:rPr>
          <w:rFonts w:ascii="標楷體" w:eastAsia="標楷體" w:hAnsi="標楷體" w:cs="標楷體" w:hint="eastAsia"/>
          <w:sz w:val="28"/>
          <w:szCs w:val="28"/>
        </w:rPr>
        <w:lastRenderedPageBreak/>
        <w:t>成員</w:t>
      </w:r>
      <w:r w:rsidRPr="006F5CB3">
        <w:rPr>
          <w:rFonts w:ascii="標楷體" w:eastAsia="標楷體" w:hAnsi="標楷體"/>
          <w:sz w:val="28"/>
          <w:szCs w:val="28"/>
        </w:rPr>
        <w:t xml:space="preserve"> 3~5 </w:t>
      </w:r>
      <w:r w:rsidRPr="006F5CB3">
        <w:rPr>
          <w:rFonts w:ascii="標楷體" w:eastAsia="標楷體" w:hAnsi="標楷體" w:cs="標楷體" w:hint="eastAsia"/>
          <w:sz w:val="28"/>
          <w:szCs w:val="28"/>
        </w:rPr>
        <w:t>人，依各成員與相關具體策略之屬性分工，每季透過自我檢核就全案執行程度及滿意狀況檢核一次，除提供相關部門與執行單位管考功能外，亦用以研商調整實施策略與進度參考。</w:t>
      </w:r>
    </w:p>
    <w:p w:rsidR="00711EB7" w:rsidRPr="006F5CB3" w:rsidRDefault="00711EB7" w:rsidP="00711EB7">
      <w:pPr>
        <w:spacing w:line="360" w:lineRule="auto"/>
        <w:ind w:left="566" w:hangingChars="202" w:hanging="566"/>
        <w:jc w:val="both"/>
        <w:rPr>
          <w:rFonts w:ascii="標楷體" w:eastAsia="標楷體" w:hAnsi="標楷體" w:cs="標楷體"/>
          <w:sz w:val="28"/>
          <w:szCs w:val="28"/>
        </w:rPr>
      </w:pPr>
      <w:r w:rsidRPr="006F5CB3">
        <w:rPr>
          <w:rFonts w:ascii="標楷體" w:eastAsia="標楷體" w:hAnsi="標楷體"/>
          <w:sz w:val="28"/>
          <w:szCs w:val="28"/>
        </w:rPr>
        <w:t>(</w:t>
      </w:r>
      <w:r w:rsidRPr="006F5CB3">
        <w:rPr>
          <w:rFonts w:ascii="標楷體" w:eastAsia="標楷體" w:hAnsi="標楷體" w:cs="標楷體" w:hint="eastAsia"/>
          <w:sz w:val="28"/>
          <w:szCs w:val="28"/>
        </w:rPr>
        <w:t>三</w:t>
      </w:r>
      <w:r w:rsidRPr="006F5CB3">
        <w:rPr>
          <w:rFonts w:ascii="標楷體" w:eastAsia="標楷體" w:hAnsi="標楷體"/>
          <w:sz w:val="28"/>
          <w:szCs w:val="28"/>
        </w:rPr>
        <w:t>)</w:t>
      </w:r>
      <w:r w:rsidRPr="006F5CB3">
        <w:rPr>
          <w:rFonts w:ascii="標楷體" w:eastAsia="標楷體" w:hAnsi="標楷體" w:cs="標楷體" w:hint="eastAsia"/>
          <w:sz w:val="28"/>
          <w:szCs w:val="28"/>
        </w:rPr>
        <w:t>每一個子計畫均設計有「子計畫自我檢核表」，由每一個子計畫召集人會同協辦單位及參與教師每月定期針對辦理情形（含承辦單位、投入人力、活動期程、經費運用等）做自我檢核。最後針對每個子計畫中的每一個活動則設計有「活動評估表」，由參與活動之師生在每一個活動結束後，針對活動目標、執行情形、受益對象、改進措施等，就質、量逐一檢視。</w:t>
      </w:r>
    </w:p>
    <w:p w:rsidR="00711EB7" w:rsidRPr="006F5CB3" w:rsidRDefault="00711EB7" w:rsidP="00711EB7">
      <w:pPr>
        <w:spacing w:line="360" w:lineRule="auto"/>
        <w:ind w:left="566" w:hangingChars="202" w:hanging="566"/>
        <w:jc w:val="both"/>
        <w:rPr>
          <w:rFonts w:ascii="標楷體" w:eastAsia="標楷體" w:hAnsi="標楷體"/>
          <w:sz w:val="28"/>
          <w:szCs w:val="28"/>
        </w:rPr>
      </w:pPr>
    </w:p>
    <w:p w:rsidR="009A29E2" w:rsidRPr="00711EB7" w:rsidRDefault="00711EB7"/>
    <w:sectPr w:rsidR="009A29E2" w:rsidRPr="00711EB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53AAE"/>
    <w:multiLevelType w:val="hybridMultilevel"/>
    <w:tmpl w:val="C6A8CE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EB7"/>
    <w:rsid w:val="0047516E"/>
    <w:rsid w:val="00711EB7"/>
    <w:rsid w:val="00EA69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EB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EB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asus01</dc:creator>
  <cp:lastModifiedBy>asus01</cp:lastModifiedBy>
  <cp:revision>1</cp:revision>
  <dcterms:created xsi:type="dcterms:W3CDTF">2019-10-13T07:44:00Z</dcterms:created>
  <dcterms:modified xsi:type="dcterms:W3CDTF">2019-10-13T07:46:00Z</dcterms:modified>
</cp:coreProperties>
</file>